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000000"/>
          <w:sz w:val="21"/>
          <w:szCs w:val="21"/>
        </w:rPr>
      </w:pPr>
      <w:r>
        <w:rPr>
          <w:rFonts w:ascii="Times New Roman" w:hAnsi="Times New Roman"/>
          <w:b/>
          <w:color w:val="000000"/>
          <w:sz w:val="21"/>
          <w:szCs w:val="21"/>
          <w:u w:val="single"/>
        </w:rPr>
        <w:t>ООО «Медика»</w:t>
      </w:r>
    </w:p>
    <w:p>
      <w:pPr>
        <w:pStyle w:val="Normal"/>
        <w:jc w:val="center"/>
        <w:rPr/>
      </w:pPr>
      <w:r>
        <w:rPr>
          <w:rStyle w:val="Filialaddressfilialaddressactive"/>
          <w:rFonts w:ascii="Times New Roman" w:hAnsi="Times New Roman"/>
          <w:b/>
          <w:sz w:val="21"/>
          <w:szCs w:val="21"/>
        </w:rPr>
        <w:t>Юридический адрес: 394030 г.Воронеж, ул.Революции 1905г., 31а</w:t>
      </w:r>
    </w:p>
    <w:p>
      <w:pPr>
        <w:pStyle w:val="Normal"/>
        <w:jc w:val="center"/>
        <w:rPr/>
      </w:pPr>
      <w:r>
        <w:rPr>
          <w:rFonts w:ascii="Times New Roman" w:hAnsi="Times New Roman"/>
          <w:b/>
          <w:sz w:val="21"/>
          <w:szCs w:val="21"/>
        </w:rPr>
        <w:t xml:space="preserve">+7 (473) 2602-280, </w:t>
      </w:r>
      <w:r>
        <w:rPr>
          <w:rFonts w:ascii="Times New Roman" w:hAnsi="Times New Roman"/>
          <w:b/>
          <w:sz w:val="21"/>
          <w:szCs w:val="21"/>
          <w:lang w:val="en-US"/>
        </w:rPr>
        <w:t>Email</w:t>
      </w:r>
      <w:r>
        <w:rPr>
          <w:rFonts w:ascii="Times New Roman" w:hAnsi="Times New Roman"/>
          <w:b/>
          <w:sz w:val="21"/>
          <w:szCs w:val="21"/>
        </w:rPr>
        <w:t xml:space="preserve">: </w:t>
      </w:r>
      <w:hyperlink r:id="rId2">
        <w:r>
          <w:rPr>
            <w:rStyle w:val="Style15"/>
            <w:rFonts w:ascii="Times New Roman" w:hAnsi="Times New Roman"/>
            <w:b/>
            <w:sz w:val="21"/>
            <w:szCs w:val="21"/>
            <w:lang w:val="en-US"/>
          </w:rPr>
          <w:t>info</w:t>
        </w:r>
      </w:hyperlink>
      <w:hyperlink r:id="rId3">
        <w:r>
          <w:rPr>
            <w:rStyle w:val="Style15"/>
            <w:rFonts w:ascii="Times New Roman" w:hAnsi="Times New Roman"/>
            <w:b/>
            <w:sz w:val="21"/>
            <w:szCs w:val="21"/>
          </w:rPr>
          <w:t>@</w:t>
        </w:r>
      </w:hyperlink>
      <w:hyperlink r:id="rId4">
        <w:r>
          <w:rPr>
            <w:rStyle w:val="Style15"/>
            <w:rFonts w:ascii="Times New Roman" w:hAnsi="Times New Roman"/>
            <w:b/>
            <w:sz w:val="21"/>
            <w:szCs w:val="21"/>
            <w:lang w:val="en-US"/>
          </w:rPr>
          <w:t>medika</w:t>
        </w:r>
      </w:hyperlink>
      <w:hyperlink r:id="rId5">
        <w:r>
          <w:rPr>
            <w:rStyle w:val="Style15"/>
            <w:rFonts w:ascii="Times New Roman" w:hAnsi="Times New Roman"/>
            <w:b/>
            <w:sz w:val="21"/>
            <w:szCs w:val="21"/>
          </w:rPr>
          <w:t>-</w:t>
        </w:r>
      </w:hyperlink>
      <w:hyperlink r:id="rId6">
        <w:r>
          <w:rPr>
            <w:rStyle w:val="Style15"/>
            <w:rFonts w:ascii="Times New Roman" w:hAnsi="Times New Roman"/>
            <w:b/>
            <w:sz w:val="21"/>
            <w:szCs w:val="21"/>
            <w:lang w:val="en-US"/>
          </w:rPr>
          <w:t>vrn</w:t>
        </w:r>
      </w:hyperlink>
      <w:hyperlink r:id="rId7">
        <w:r>
          <w:rPr>
            <w:rStyle w:val="Style15"/>
            <w:rFonts w:ascii="Times New Roman" w:hAnsi="Times New Roman"/>
            <w:b/>
            <w:sz w:val="21"/>
            <w:szCs w:val="21"/>
          </w:rPr>
          <w:t>.</w:t>
        </w:r>
      </w:hyperlink>
      <w:hyperlink r:id="rId8">
        <w:r>
          <w:rPr>
            <w:rStyle w:val="Style15"/>
            <w:rFonts w:ascii="Times New Roman" w:hAnsi="Times New Roman"/>
            <w:b/>
            <w:sz w:val="21"/>
            <w:szCs w:val="21"/>
            <w:lang w:val="en-US"/>
          </w:rPr>
          <w:t>ru</w:t>
        </w:r>
      </w:hyperlink>
    </w:p>
    <w:p>
      <w:pPr>
        <w:pStyle w:val="Normal"/>
        <w:jc w:val="right"/>
        <w:rPr>
          <w:b/>
          <w:b/>
          <w:sz w:val="26"/>
          <w:szCs w:val="26"/>
        </w:rPr>
      </w:pPr>
      <w:r>
        <w:rPr>
          <w:rFonts w:ascii="Times New Roman" w:hAnsi="Times New Roman"/>
          <w:b/>
          <w:sz w:val="26"/>
          <w:szCs w:val="26"/>
        </w:rPr>
        <w:t>УТВЕРЖДАЮ</w:t>
      </w:r>
    </w:p>
    <w:p>
      <w:pPr>
        <w:pStyle w:val="Normal"/>
        <w:jc w:val="right"/>
        <w:rPr>
          <w:rFonts w:ascii="Times New Roman" w:hAnsi="Times New Roman"/>
          <w:sz w:val="26"/>
          <w:szCs w:val="26"/>
        </w:rPr>
      </w:pPr>
      <w:r>
        <w:rPr>
          <w:rFonts w:eastAsia="Times New Roman" w:ascii="Times New Roman" w:hAnsi="Times New Roman"/>
          <w:b/>
          <w:sz w:val="26"/>
          <w:szCs w:val="26"/>
        </w:rPr>
        <w:t xml:space="preserve">  </w:t>
      </w:r>
      <w:r>
        <w:rPr>
          <w:rFonts w:ascii="Times New Roman" w:hAnsi="Times New Roman"/>
          <w:b/>
          <w:sz w:val="26"/>
          <w:szCs w:val="26"/>
        </w:rPr>
        <w:t>Директор  ООО «Медика»</w:t>
      </w:r>
    </w:p>
    <w:p>
      <w:pPr>
        <w:pStyle w:val="Normal"/>
        <w:jc w:val="right"/>
        <w:rPr>
          <w:rFonts w:ascii="Times New Roman" w:hAnsi="Times New Roman"/>
          <w:sz w:val="26"/>
          <w:szCs w:val="26"/>
        </w:rPr>
      </w:pPr>
      <w:r>
        <w:rPr>
          <w:rFonts w:eastAsia="Times New Roman" w:ascii="Times New Roman" w:hAnsi="Times New Roman"/>
          <w:b/>
          <w:sz w:val="26"/>
          <w:szCs w:val="26"/>
        </w:rPr>
        <w:t xml:space="preserve">                                                                          </w:t>
      </w:r>
      <w:r>
        <w:rPr>
          <w:rFonts w:ascii="Times New Roman" w:hAnsi="Times New Roman"/>
          <w:b/>
          <w:sz w:val="26"/>
          <w:szCs w:val="26"/>
        </w:rPr>
        <w:t>___________ Золотарева Е.Н.</w:t>
      </w:r>
    </w:p>
    <w:p>
      <w:pPr>
        <w:pStyle w:val="Normal"/>
        <w:jc w:val="right"/>
        <w:rPr>
          <w:b/>
          <w:b/>
          <w:color w:val="FF0000"/>
          <w:sz w:val="28"/>
          <w:szCs w:val="28"/>
        </w:rPr>
      </w:pPr>
      <w:r>
        <w:rPr>
          <w:rFonts w:ascii="Times New Roman" w:hAnsi="Times New Roman"/>
          <w:sz w:val="26"/>
          <w:szCs w:val="26"/>
        </w:rPr>
      </w:r>
    </w:p>
    <w:p>
      <w:pPr>
        <w:pStyle w:val="Normal"/>
        <w:jc w:val="center"/>
        <w:rPr>
          <w:color w:val="FF0000"/>
          <w:sz w:val="28"/>
          <w:szCs w:val="28"/>
        </w:rPr>
      </w:pPr>
      <w:r>
        <w:rPr>
          <w:rFonts w:ascii="Times New Roman" w:hAnsi="Times New Roman"/>
          <w:b/>
          <w:bCs/>
          <w:color w:val="000000"/>
          <w:sz w:val="26"/>
          <w:szCs w:val="26"/>
        </w:rPr>
        <w:t>ПРАВИЛА ИСПОЛЬЗОВАНИЯ ПОДАРОЧНЫХ КАРТ</w:t>
      </w:r>
      <w:r>
        <w:rPr>
          <w:rFonts w:ascii="Times New Roman" w:hAnsi="Times New Roman"/>
          <w:b/>
          <w:bCs/>
          <w:color w:val="FF0000"/>
          <w:sz w:val="26"/>
          <w:szCs w:val="26"/>
        </w:rPr>
        <w:t xml:space="preserve"> </w:t>
      </w:r>
    </w:p>
    <w:p>
      <w:pPr>
        <w:pStyle w:val="Normal"/>
        <w:rPr>
          <w:sz w:val="28"/>
          <w:szCs w:val="28"/>
        </w:rPr>
      </w:pPr>
      <w:r>
        <w:rPr>
          <w:rFonts w:ascii="Times New Roman" w:hAnsi="Times New Roman"/>
          <w:sz w:val="26"/>
          <w:szCs w:val="26"/>
        </w:rPr>
        <w:t xml:space="preserve">1. Подарочная Карта представляет собой пластиковую карту фиксированного номинала. Подарочная карта не является товаром. </w:t>
      </w:r>
    </w:p>
    <w:p>
      <w:pPr>
        <w:pStyle w:val="Normal"/>
        <w:rPr>
          <w:sz w:val="28"/>
          <w:szCs w:val="28"/>
        </w:rPr>
      </w:pPr>
      <w:r>
        <w:rPr>
          <w:rFonts w:ascii="Times New Roman" w:hAnsi="Times New Roman"/>
          <w:sz w:val="26"/>
          <w:szCs w:val="26"/>
        </w:rPr>
        <w:t>2. Активированная Подарочная Карта удостоверяют право Держателя Подарочной Карты на приобретение на условиях настоящих Правил в течение срока действия Подарочной карты на сумму, равную номиналу Подарочной Карты, товара в ассортименте и по ценам, действующим на день приобретения услуги по Подарочной Карте.</w:t>
      </w:r>
    </w:p>
    <w:p>
      <w:pPr>
        <w:pStyle w:val="Normal"/>
        <w:rPr>
          <w:sz w:val="28"/>
          <w:szCs w:val="28"/>
        </w:rPr>
      </w:pPr>
      <w:r>
        <w:rPr>
          <w:rFonts w:ascii="Times New Roman" w:hAnsi="Times New Roman"/>
          <w:sz w:val="26"/>
          <w:szCs w:val="26"/>
        </w:rPr>
        <w:t xml:space="preserve"> </w:t>
      </w:r>
      <w:r>
        <w:rPr>
          <w:rFonts w:ascii="Times New Roman" w:hAnsi="Times New Roman"/>
          <w:sz w:val="26"/>
          <w:szCs w:val="26"/>
        </w:rPr>
        <w:t xml:space="preserve">3. Активация Подарочной Карты и / или использование Подарочной Карты означает безусловное согласие Приобретателя и Держателя с настоящими Правилами. </w:t>
      </w:r>
    </w:p>
    <w:p>
      <w:pPr>
        <w:pStyle w:val="Normal"/>
        <w:rPr>
          <w:sz w:val="28"/>
          <w:szCs w:val="28"/>
        </w:rPr>
      </w:pPr>
      <w:r>
        <w:rPr>
          <w:rFonts w:ascii="Times New Roman" w:hAnsi="Times New Roman"/>
          <w:sz w:val="26"/>
          <w:szCs w:val="26"/>
        </w:rPr>
        <w:t>4. Подарочные Карты можно приобрести во всех филиалах ООО «Медика»</w:t>
      </w:r>
    </w:p>
    <w:p>
      <w:pPr>
        <w:pStyle w:val="Normal"/>
        <w:rPr>
          <w:sz w:val="28"/>
          <w:szCs w:val="28"/>
        </w:rPr>
      </w:pPr>
      <w:r>
        <w:rPr>
          <w:rFonts w:ascii="Times New Roman" w:hAnsi="Times New Roman"/>
          <w:sz w:val="26"/>
          <w:szCs w:val="26"/>
        </w:rPr>
        <w:t xml:space="preserve">5. Приобретателями Подарочных Карт могут быть как физические, так и юридические лица. Физические лица приобретают Подарочные Карты в регистратуре филиала за наличный и безналичный расчет (оплата банковской картой), и помимо Подарочной Карты, получают отдельный кассовый чек. Юридические лица приобретают Подарочные Карты на условиях предварительной оплаты за безналичный расчет по Договору. </w:t>
      </w:r>
    </w:p>
    <w:p>
      <w:pPr>
        <w:pStyle w:val="Normal"/>
        <w:rPr>
          <w:sz w:val="28"/>
          <w:szCs w:val="28"/>
        </w:rPr>
      </w:pPr>
      <w:r>
        <w:rPr>
          <w:rFonts w:ascii="Times New Roman" w:hAnsi="Times New Roman"/>
          <w:sz w:val="26"/>
          <w:szCs w:val="26"/>
        </w:rPr>
        <w:t xml:space="preserve">6. Приобретатель Подарочной Карты имеет право на передачу её любому другому лицу – Держателю. При передаче Подарочной Карты Приобретатель обязан проинформировать Держателя о Правилах использования Подарочных карт и передать документы, подтверждающие факт приобретения Подарочной Карты (кассовый чек или договор и документ об оплате). </w:t>
      </w:r>
    </w:p>
    <w:p>
      <w:pPr>
        <w:pStyle w:val="Normal"/>
        <w:rPr>
          <w:sz w:val="28"/>
          <w:szCs w:val="28"/>
        </w:rPr>
      </w:pPr>
      <w:r>
        <w:rPr>
          <w:rFonts w:ascii="Times New Roman" w:hAnsi="Times New Roman"/>
          <w:sz w:val="26"/>
          <w:szCs w:val="26"/>
        </w:rPr>
        <w:t xml:space="preserve">7. Держателями Подарочных Карт являются только физические лица. </w:t>
      </w:r>
    </w:p>
    <w:p>
      <w:pPr>
        <w:pStyle w:val="Normal"/>
        <w:rPr>
          <w:sz w:val="28"/>
          <w:szCs w:val="28"/>
        </w:rPr>
      </w:pPr>
      <w:r>
        <w:rPr>
          <w:rFonts w:ascii="Times New Roman" w:hAnsi="Times New Roman"/>
          <w:sz w:val="26"/>
          <w:szCs w:val="26"/>
        </w:rPr>
        <w:t>8. Номинал Подарочной Карты указывается в рублях: 500, 1000, 3000, 5000 и 10000 рублей.</w:t>
      </w:r>
    </w:p>
    <w:p>
      <w:pPr>
        <w:pStyle w:val="Normal"/>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9. Срок действия Подарочной Карты составляет </w:t>
      </w:r>
      <w:r>
        <w:rPr>
          <w:rFonts w:ascii="Times New Roman" w:hAnsi="Times New Roman"/>
          <w:sz w:val="26"/>
          <w:szCs w:val="26"/>
        </w:rPr>
        <w:t>1</w:t>
      </w:r>
      <w:r>
        <w:rPr>
          <w:rFonts w:ascii="Times New Roman" w:hAnsi="Times New Roman"/>
          <w:sz w:val="26"/>
          <w:szCs w:val="26"/>
        </w:rPr>
        <w:t xml:space="preserve"> год с момента ее передачи юридическому или физическому лицу. </w:t>
      </w:r>
    </w:p>
    <w:p>
      <w:pPr>
        <w:pStyle w:val="Normal"/>
        <w:rPr>
          <w:sz w:val="28"/>
          <w:szCs w:val="28"/>
        </w:rPr>
      </w:pPr>
      <w:r>
        <w:rPr>
          <w:rFonts w:ascii="Times New Roman" w:hAnsi="Times New Roman"/>
          <w:sz w:val="26"/>
          <w:szCs w:val="26"/>
        </w:rPr>
        <w:t xml:space="preserve">10. Активация Подарочной Карты, приобретенной физическим или юридическим лицом, происходит в течение суток с момента ее приобретения. </w:t>
      </w:r>
    </w:p>
    <w:p>
      <w:pPr>
        <w:pStyle w:val="Normal"/>
        <w:rPr>
          <w:sz w:val="28"/>
          <w:szCs w:val="28"/>
        </w:rPr>
      </w:pPr>
      <w:r>
        <w:rPr>
          <w:rFonts w:ascii="Times New Roman" w:hAnsi="Times New Roman"/>
          <w:sz w:val="26"/>
          <w:szCs w:val="26"/>
        </w:rPr>
        <w:t xml:space="preserve">11. Момент активации Подарочной Карты, приобретаемой юридическим лицом, определяется в договоре. Активация осуществляется при условии наличии предварительной оплаты от Приобретателя. </w:t>
      </w:r>
    </w:p>
    <w:p>
      <w:pPr>
        <w:pStyle w:val="Normal"/>
        <w:rPr>
          <w:sz w:val="28"/>
          <w:szCs w:val="28"/>
        </w:rPr>
      </w:pPr>
      <w:r>
        <w:rPr>
          <w:rFonts w:ascii="Times New Roman" w:hAnsi="Times New Roman"/>
          <w:sz w:val="26"/>
          <w:szCs w:val="26"/>
        </w:rPr>
        <w:t>12. Активированные Подарочные Карты любого номинала принимаются для оплаты услуг.</w:t>
      </w:r>
    </w:p>
    <w:p>
      <w:pPr>
        <w:pStyle w:val="Normal"/>
        <w:rPr>
          <w:sz w:val="28"/>
          <w:szCs w:val="28"/>
        </w:rPr>
      </w:pPr>
      <w:r>
        <w:rPr>
          <w:rFonts w:ascii="Times New Roman" w:hAnsi="Times New Roman"/>
          <w:sz w:val="26"/>
          <w:szCs w:val="26"/>
        </w:rPr>
        <w:t xml:space="preserve"> </w:t>
      </w:r>
      <w:r>
        <w:rPr>
          <w:rFonts w:ascii="Times New Roman" w:hAnsi="Times New Roman"/>
          <w:sz w:val="26"/>
          <w:szCs w:val="26"/>
        </w:rPr>
        <w:t>13. Информацию о дате активации подарочной карты можно узнать по многоканальному телефону  8-4732-602-280, указав уникальный номер Подарочной Карты. В случае, если карта была подарена и передарена, во избежание технических сбоев, просроченных сроков действия карты , Держателю карты рекомендуется перед посещением ООО «Медика» заранее удостоверится в действительности карты на момент посещения , а также проверить наличие средств на карте. Администрация оставляет за собой также право проверки подлинности карты и её действительности в срок до 3-х дней с момента предъявления или предупреждает по телефону о том, что такая проверка будет осуществлена в течение 3-х рабочих дней. В случае, если Держатель карты заранее не удостоверился в её действительности, администрация оставляет за собой право потребовать оплату услуг наличными или  банковской картой, до выяснения всех обстоятельств в течение 3-х рабочих дней, при этом возврат денежных средств за данную оплату не производится.</w:t>
      </w:r>
    </w:p>
    <w:p>
      <w:pPr>
        <w:pStyle w:val="Normal"/>
        <w:rPr>
          <w:sz w:val="28"/>
          <w:szCs w:val="28"/>
        </w:rPr>
      </w:pPr>
      <w:r>
        <w:rPr>
          <w:rFonts w:ascii="Times New Roman" w:hAnsi="Times New Roman"/>
          <w:sz w:val="26"/>
          <w:szCs w:val="26"/>
        </w:rPr>
        <w:t>14. Приобрести услугу с использованием Подарочной карты может ее Держатель, предъявивший активированную Подарочную Карту. ООО «Медика», осуществляет обслуживание с использованием Подарочной Карты, но не несет ответственности за несанкционированное использование Подарочной Карты, поскольку Карта обслуживается в режиме «на предъявителя».</w:t>
      </w:r>
    </w:p>
    <w:p>
      <w:pPr>
        <w:pStyle w:val="Normal"/>
        <w:rPr>
          <w:sz w:val="28"/>
          <w:szCs w:val="28"/>
        </w:rPr>
      </w:pPr>
      <w:r>
        <w:rPr>
          <w:rFonts w:ascii="Times New Roman" w:hAnsi="Times New Roman"/>
          <w:sz w:val="26"/>
          <w:szCs w:val="26"/>
        </w:rPr>
        <w:t>16. Покупка может быть оплачена как одной, так и несколькими активированными Подарочными Картами. При этом, если сумма номиналов Подарочных Карт больше суммы покупки, остаток денежных средств покупателю не возвращается. Если сумма номиналов Подарочных Карт меньше суммы покупки, недостающая сумма может быть внесена наличными и/или оплачена банковской картой.</w:t>
      </w:r>
    </w:p>
    <w:p>
      <w:pPr>
        <w:pStyle w:val="Normal"/>
        <w:rPr>
          <w:sz w:val="28"/>
          <w:szCs w:val="28"/>
        </w:rPr>
      </w:pPr>
      <w:r>
        <w:rPr>
          <w:rFonts w:ascii="Times New Roman" w:hAnsi="Times New Roman"/>
          <w:sz w:val="26"/>
          <w:szCs w:val="26"/>
        </w:rPr>
        <w:t xml:space="preserve"> </w:t>
      </w:r>
      <w:r>
        <w:rPr>
          <w:rFonts w:ascii="Times New Roman" w:hAnsi="Times New Roman"/>
          <w:sz w:val="26"/>
          <w:szCs w:val="26"/>
        </w:rPr>
        <w:t xml:space="preserve">17. После совершения покупки Подарочная Карта изымается у Держателя администратором. </w:t>
      </w:r>
    </w:p>
    <w:p>
      <w:pPr>
        <w:pStyle w:val="Normal"/>
        <w:rPr>
          <w:sz w:val="28"/>
          <w:szCs w:val="28"/>
        </w:rPr>
      </w:pPr>
      <w:r>
        <w:rPr>
          <w:rFonts w:ascii="Times New Roman" w:hAnsi="Times New Roman"/>
          <w:sz w:val="26"/>
          <w:szCs w:val="26"/>
        </w:rPr>
        <w:t xml:space="preserve">18. Неактивированная Подарочная Карта является недействительной и не принимается к оплате. </w:t>
      </w:r>
    </w:p>
    <w:p>
      <w:pPr>
        <w:pStyle w:val="Normal"/>
        <w:rPr>
          <w:sz w:val="28"/>
          <w:szCs w:val="28"/>
        </w:rPr>
      </w:pPr>
      <w:r>
        <w:rPr>
          <w:rFonts w:ascii="Times New Roman" w:hAnsi="Times New Roman"/>
          <w:sz w:val="26"/>
          <w:szCs w:val="26"/>
        </w:rPr>
        <w:t xml:space="preserve">19. В спорных ситуациях решение вопроса о действительности неактивированных Подарочных Карт осуществляется в индивидуальном порядке только после проведения проверки легальности её приобретения. Подтверждением легальности приобретения Подарочной Карты является кассовый чек (для физических лиц); договор и документ об оплате (для юридических лиц). В случае отсутствия названных документов, специалисты осуществляют проверку, целью которой является выяснить, имел ли место факт приобретения предъявляемой Подарочной Карты. Срок проведения такой проверки не менее 3 рабочих дней с момента обращения покупателя. 20. Подарочные Карты, в подлинности которых возникли сомнения, к оплате не принимаются. Обмен таких Подарочных Карт на денежные средства или другие Подарочные Карты не производится. </w:t>
      </w:r>
    </w:p>
    <w:p>
      <w:pPr>
        <w:pStyle w:val="Normal"/>
        <w:rPr>
          <w:sz w:val="28"/>
          <w:szCs w:val="28"/>
        </w:rPr>
      </w:pPr>
      <w:r>
        <w:rPr>
          <w:rFonts w:ascii="Times New Roman" w:hAnsi="Times New Roman"/>
          <w:sz w:val="26"/>
          <w:szCs w:val="26"/>
        </w:rPr>
        <w:t xml:space="preserve">21. </w:t>
      </w:r>
      <w:r>
        <w:rPr>
          <w:rFonts w:ascii="Times New Roman" w:hAnsi="Times New Roman"/>
          <w:b/>
          <w:bCs/>
          <w:sz w:val="26"/>
          <w:szCs w:val="26"/>
        </w:rPr>
        <w:t xml:space="preserve">По истечению своего срока действия Подарочная карта не может быть использована для оплаты услуг, денежные средства, использованные для приобретения Подарочной карты, не возвращаются. </w:t>
      </w:r>
    </w:p>
    <w:p>
      <w:pPr>
        <w:pStyle w:val="Normal"/>
        <w:rPr>
          <w:sz w:val="28"/>
          <w:szCs w:val="28"/>
        </w:rPr>
      </w:pPr>
      <w:r>
        <w:rPr>
          <w:rFonts w:ascii="Times New Roman" w:hAnsi="Times New Roman"/>
          <w:sz w:val="26"/>
          <w:szCs w:val="26"/>
        </w:rPr>
        <w:t>22. При утере, порче или краже Подарочная Карта не восстанавливается и её стоимость не компенсируется. Подарочные Карты с механическими повреждениями к оплате не принимаются, за исключением карт, которые выданы с отверстием в номере карты, такое отверстие не считается механическим повреждением.</w:t>
      </w:r>
    </w:p>
    <w:p>
      <w:pPr>
        <w:pStyle w:val="Normal"/>
        <w:rPr>
          <w:sz w:val="28"/>
          <w:szCs w:val="28"/>
        </w:rPr>
      </w:pPr>
      <w:r>
        <w:rPr>
          <w:rFonts w:ascii="Times New Roman" w:hAnsi="Times New Roman"/>
          <w:sz w:val="26"/>
          <w:szCs w:val="26"/>
        </w:rPr>
        <w:t xml:space="preserve"> </w:t>
      </w:r>
      <w:r>
        <w:rPr>
          <w:rFonts w:ascii="Times New Roman" w:hAnsi="Times New Roman"/>
          <w:sz w:val="26"/>
          <w:szCs w:val="26"/>
        </w:rPr>
        <w:t xml:space="preserve">23. </w:t>
      </w:r>
      <w:r>
        <w:rPr>
          <w:rFonts w:ascii="Times New Roman" w:hAnsi="Times New Roman"/>
          <w:b/>
          <w:bCs/>
          <w:sz w:val="26"/>
          <w:szCs w:val="26"/>
        </w:rPr>
        <w:t>Подарочная Карта не является товаром, обмену и возврату не подлежит, денежные средства по ней не выплачиваются. Подарочные Карты не принимаются к оплате при приобретении Подарочных Карт.</w:t>
      </w:r>
    </w:p>
    <w:p>
      <w:pPr>
        <w:pStyle w:val="Normal"/>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24. При возникновении вопросов по использованию Подарочной Карты, необходимо обратиться по многоканальному телефону 8-4732-602-280 или с претензией по адресу: г. Воронеж, ул.</w:t>
      </w:r>
      <w:r>
        <w:rPr>
          <w:rFonts w:ascii="Times New Roman" w:hAnsi="Times New Roman"/>
          <w:sz w:val="26"/>
          <w:szCs w:val="26"/>
        </w:rPr>
        <w:t>Революции 1905г.,</w:t>
      </w:r>
      <w:r>
        <w:rPr>
          <w:rFonts w:ascii="Times New Roman" w:hAnsi="Times New Roman"/>
          <w:sz w:val="26"/>
          <w:szCs w:val="26"/>
        </w:rPr>
        <w:t xml:space="preserve"> д.3</w:t>
      </w:r>
      <w:r>
        <w:rPr>
          <w:rFonts w:ascii="Times New Roman" w:hAnsi="Times New Roman"/>
          <w:sz w:val="26"/>
          <w:szCs w:val="26"/>
        </w:rPr>
        <w:t>1а</w:t>
      </w:r>
      <w:r>
        <w:rPr>
          <w:rFonts w:ascii="Times New Roman" w:hAnsi="Times New Roman"/>
          <w:sz w:val="26"/>
          <w:szCs w:val="26"/>
        </w:rPr>
        <w:t xml:space="preserve"> и указать уникальный номер Подарочной Карты. </w:t>
      </w:r>
    </w:p>
    <w:p>
      <w:pPr>
        <w:pStyle w:val="Normal"/>
        <w:widowControl/>
        <w:bidi w:val="0"/>
        <w:spacing w:lineRule="auto" w:line="259" w:before="0" w:after="160"/>
        <w:jc w:val="left"/>
        <w:rPr>
          <w:rFonts w:ascii="Times New Roman" w:hAnsi="Times New Roman"/>
          <w:sz w:val="26"/>
          <w:szCs w:val="26"/>
        </w:rPr>
      </w:pPr>
      <w:r>
        <w:rPr>
          <w:rFonts w:ascii="Times New Roman" w:hAnsi="Times New Roman"/>
          <w:sz w:val="26"/>
          <w:szCs w:val="26"/>
        </w:rPr>
        <w:t>26. Правила использования Подарочных Карт могут быть дополнены и/или изменены Компанией-эмитентом в одностороннем порядке. Информация об этом будет своевременно размещена на сайте www.</w:t>
      </w:r>
      <w:r>
        <w:rPr>
          <w:rFonts w:ascii="Times New Roman" w:hAnsi="Times New Roman"/>
          <w:sz w:val="26"/>
          <w:szCs w:val="26"/>
          <w:lang w:val="en-US"/>
        </w:rPr>
        <w:t>medika</w:t>
      </w:r>
      <w:r>
        <w:rPr>
          <w:rFonts w:ascii="Times New Roman" w:hAnsi="Times New Roman"/>
          <w:sz w:val="26"/>
          <w:szCs w:val="26"/>
        </w:rPr>
        <w:t>-</w:t>
      </w:r>
      <w:r>
        <w:rPr>
          <w:rFonts w:ascii="Times New Roman" w:hAnsi="Times New Roman"/>
          <w:sz w:val="26"/>
          <w:szCs w:val="26"/>
          <w:lang w:val="en-US"/>
        </w:rPr>
        <w:t>vrn</w:t>
      </w:r>
      <w:r>
        <w:rPr>
          <w:rFonts w:ascii="Times New Roman" w:hAnsi="Times New Roman"/>
          <w:sz w:val="26"/>
          <w:szCs w:val="26"/>
        </w:rPr>
        <w:t>. Настоящие правила имеют преимущественную силу по отношению к кратким правилам, изложенным на упаковке подарочной карты в случае возникновения спора.</w:t>
      </w:r>
    </w:p>
    <w:sectPr>
      <w:type w:val="nextPage"/>
      <w:pgSz w:w="11906" w:h="16838"/>
      <w:pgMar w:left="1134" w:right="850" w:header="0" w:top="510" w:footer="0" w:bottom="45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Wingdings">
    <w:charset w:val="02"/>
    <w:family w:val="auto"/>
    <w:pitch w:val="variable"/>
  </w:font>
  <w:font w:name="Courier New">
    <w:charset w:val="cc"/>
    <w:family w:val="modern"/>
    <w:pitch w:val="default"/>
  </w:font>
  <w:font w:name="Liberation Sans">
    <w:altName w:val="Arial"/>
    <w:charset w:val="cc"/>
    <w:family w:val="roman"/>
    <w:pitch w:val="variable"/>
  </w:font>
  <w:font w:name="Tahoma">
    <w:charset w:val="cc"/>
    <w:family w:val="swiss"/>
    <w:pitch w:val="variable"/>
  </w:font>
  <w:font w:name="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kinsoku w:val="true"/>
      <w:overflowPunct w:val="true"/>
      <w:autoSpaceDE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ilialaddressfilialaddressactive">
    <w:name w:val="filial-address filial-address-active"/>
    <w:basedOn w:val="Style16"/>
    <w:qFormat/>
    <w:rPr/>
  </w:style>
  <w:style w:type="character" w:styleId="Style14">
    <w:name w:val="Выделение жирным"/>
    <w:qFormat/>
    <w:rPr>
      <w:b/>
      <w:bCs/>
    </w:rPr>
  </w:style>
  <w:style w:type="character" w:styleId="Appleconvertedspace">
    <w:name w:val="apple-converted-space"/>
    <w:qFormat/>
    <w:rPr/>
  </w:style>
  <w:style w:type="character" w:styleId="Style15">
    <w:name w:val="Интернет-ссылка"/>
    <w:rPr>
      <w:color w:val="0000FF"/>
      <w:u w:val="single"/>
    </w:rPr>
  </w:style>
  <w:style w:type="character" w:styleId="Style16">
    <w:name w:val="Основной шрифт абзаца"/>
    <w:qFormat/>
    <w:rPr/>
  </w:style>
  <w:style w:type="character" w:styleId="WW8Num10z0">
    <w:name w:val="WW8Num10z0"/>
    <w:qFormat/>
    <w:rPr/>
  </w:style>
  <w:style w:type="character" w:styleId="WW8Num9z0">
    <w:name w:val="WW8Num9z0"/>
    <w:qFormat/>
    <w:rPr>
      <w:rFonts w:cs="Times New Roman"/>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WW8Num6z2">
    <w:name w:val="WW8Num6z2"/>
    <w:qFormat/>
    <w:rPr>
      <w:rFonts w:ascii="Wingdings" w:hAnsi="Wingdings" w:cs="Wingdings"/>
    </w:rPr>
  </w:style>
  <w:style w:type="character" w:styleId="WW8Num6z1">
    <w:name w:val="WW8Num6z1"/>
    <w:qFormat/>
    <w:rPr>
      <w:rFonts w:ascii="Courier New" w:hAnsi="Courier New" w:cs="Courier New"/>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0">
    <w:name w:val="WW8Num7z0"/>
    <w:qFormat/>
    <w:rPr/>
  </w:style>
  <w:style w:type="character" w:styleId="WW8Num6z0">
    <w:name w:val="WW8Num6z0"/>
    <w:qFormat/>
    <w:rPr>
      <w:rFonts w:cs="Times New Roman"/>
    </w:rPr>
  </w:style>
  <w:style w:type="character" w:styleId="WW8Num5z0">
    <w:name w:val="WW8Num5z0"/>
    <w:qFormat/>
    <w:rPr>
      <w:rFonts w:ascii="Symbol" w:hAnsi="Symbol" w:cs="Symbol"/>
    </w:rPr>
  </w:style>
  <w:style w:type="character" w:styleId="WW8Num4z0">
    <w:name w:val="WW8Num4z0"/>
    <w:qFormat/>
    <w:rPr>
      <w:rFonts w:ascii="Symbol" w:hAnsi="Symbol" w:cs="Symbol"/>
    </w:rPr>
  </w:style>
  <w:style w:type="character" w:styleId="WW8Num3z0">
    <w:name w:val="WW8Num3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0">
    <w:name w:val="WW8Num1z0"/>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Текст выноски"/>
    <w:basedOn w:val="Normal"/>
    <w:qFormat/>
    <w:pPr/>
    <w:rPr>
      <w:rFonts w:ascii="Tahoma" w:hAnsi="Tahoma" w:cs="Tahoma"/>
      <w:sz w:val="16"/>
      <w:szCs w:val="16"/>
    </w:rPr>
  </w:style>
  <w:style w:type="paragraph" w:styleId="Style23">
    <w:name w:val="Header"/>
    <w:basedOn w:val="Normal"/>
    <w:pPr>
      <w:tabs>
        <w:tab w:val="clear" w:pos="709"/>
        <w:tab w:val="center" w:pos="4677" w:leader="none"/>
        <w:tab w:val="right" w:pos="9355" w:leader="none"/>
      </w:tabs>
    </w:pPr>
    <w:rPr>
      <w:rFonts w:eastAsia="Times New Roman"/>
      <w:b/>
    </w:rPr>
  </w:style>
  <w:style w:type="paragraph" w:styleId="ConsPlusNormal">
    <w:name w:val="ConsPlusNormal"/>
    <w:qFormat/>
    <w:pPr>
      <w:widowControl/>
      <w:suppressAutoHyphens w:val="true"/>
      <w:kinsoku w:val="true"/>
      <w:overflowPunct w:val="true"/>
      <w:autoSpaceDE w:val="false"/>
      <w:bidi w:val="0"/>
      <w:jc w:val="left"/>
    </w:pPr>
    <w:rPr>
      <w:rFonts w:ascii="Arial" w:hAnsi="Arial" w:eastAsia="Times New Roman" w:cs="Arial"/>
      <w:color w:val="auto"/>
      <w:kern w:val="2"/>
      <w:sz w:val="20"/>
      <w:szCs w:val="20"/>
      <w:lang w:val="ru-RU" w:eastAsia="zh-CN" w:bidi="ar-SA"/>
    </w:rPr>
  </w:style>
  <w:style w:type="paragraph" w:styleId="ListParagraph">
    <w:name w:val="List Paragraph"/>
    <w:basedOn w:val="Normal"/>
    <w:qFormat/>
    <w:pPr>
      <w:ind w:left="720" w:right="0" w:hanging="0"/>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medika-vrn.ru" TargetMode="External"/><Relationship Id="rId3" Type="http://schemas.openxmlformats.org/officeDocument/2006/relationships/hyperlink" Target="mailto:info@medika-vrn.ru" TargetMode="External"/><Relationship Id="rId4" Type="http://schemas.openxmlformats.org/officeDocument/2006/relationships/hyperlink" Target="mailto:info@medika-vrn.ru" TargetMode="External"/><Relationship Id="rId5" Type="http://schemas.openxmlformats.org/officeDocument/2006/relationships/hyperlink" Target="mailto:info@medika-vrn.ru" TargetMode="External"/><Relationship Id="rId6" Type="http://schemas.openxmlformats.org/officeDocument/2006/relationships/hyperlink" Target="mailto:info@medika-vrn.ru" TargetMode="External"/><Relationship Id="rId7" Type="http://schemas.openxmlformats.org/officeDocument/2006/relationships/hyperlink" Target="mailto:info@medika-vrn.ru" TargetMode="External"/><Relationship Id="rId8" Type="http://schemas.openxmlformats.org/officeDocument/2006/relationships/hyperlink" Target="mailto:info@medika-vrn.ru"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LibreOffice/6.2.4.2$Windows_x86 LibreOffice_project/2412653d852ce75f65fbfa83fb7e7b669a126d64</Application>
  <Pages>3</Pages>
  <Words>790</Words>
  <Characters>5362</Characters>
  <CharactersWithSpaces>6222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2017-03-27T12:50:00Z</dcterms:created>
  <dc:creator>User</dc:creator>
  <dc:description/>
  <dc:language>ru-RU</dc:language>
  <cp:lastModifiedBy/>
  <cp:lastPrinted>2019-09-06T14:09:35Z</cp:lastPrinted>
  <dcterms:modified xsi:type="dcterms:W3CDTF">2019-09-06T14:24:30Z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